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1FA51">
      <w:pPr>
        <w:pStyle w:val="2"/>
        <w:tabs>
          <w:tab w:val="left" w:pos="0"/>
        </w:tabs>
        <w:wordWrap w:val="0"/>
        <w:autoSpaceDE w:val="0"/>
        <w:autoSpaceDN w:val="0"/>
        <w:adjustRightInd w:val="0"/>
        <w:spacing w:before="0" w:after="0" w:line="500" w:lineRule="exact"/>
        <w:jc w:val="center"/>
        <w:rPr>
          <w:rFonts w:asciiTheme="minorEastAsia" w:hAnsiTheme="minorEastAsia" w:eastAsiaTheme="minorEastAsia"/>
          <w:color w:val="auto"/>
          <w:sz w:val="32"/>
          <w:szCs w:val="32"/>
        </w:rPr>
      </w:pPr>
      <w:bookmarkStart w:id="0" w:name="_Toc28359022"/>
      <w:bookmarkStart w:id="1" w:name="_Toc35393809"/>
      <w:r>
        <w:rPr>
          <w:rFonts w:hint="eastAsia" w:asciiTheme="minorEastAsia" w:hAnsiTheme="minorEastAsia" w:eastAsiaTheme="minorEastAsia"/>
          <w:b/>
          <w:bCs/>
          <w:color w:val="auto"/>
          <w:spacing w:val="-6"/>
          <w:sz w:val="32"/>
          <w:szCs w:val="32"/>
        </w:rPr>
        <w:t>广西大德项目管理有限公司关于柳州职业技术大学2025-2026年社会租用车辆服务采购（重）（LZZC2025-C3-990727-GXDD）成交结果公告</w:t>
      </w:r>
      <w:bookmarkEnd w:id="0"/>
      <w:bookmarkEnd w:id="1"/>
    </w:p>
    <w:p w14:paraId="4FD0A95E">
      <w:pPr>
        <w:rPr>
          <w:rFonts w:asciiTheme="minorEastAsia" w:hAnsiTheme="minorEastAsia" w:eastAsiaTheme="minorEastAsia"/>
          <w:color w:val="auto"/>
        </w:rPr>
      </w:pPr>
    </w:p>
    <w:p w14:paraId="5F312C97">
      <w:pPr>
        <w:keepNext w:val="0"/>
        <w:keepLines w:val="0"/>
        <w:pageBreakBefore w:val="0"/>
        <w:widowControl/>
        <w:kinsoku/>
        <w:overflowPunct/>
        <w:topLinePunct w:val="0"/>
        <w:autoSpaceDE/>
        <w:autoSpaceDN/>
        <w:bidi w:val="0"/>
        <w:adjustRightInd/>
        <w:snapToGrid/>
        <w:spacing w:line="400" w:lineRule="exact"/>
        <w:jc w:val="left"/>
        <w:textAlignment w:val="auto"/>
        <w:rPr>
          <w:rFonts w:ascii="宋体" w:hAnsi="宋体"/>
          <w:b/>
          <w:color w:val="auto"/>
          <w:sz w:val="24"/>
          <w:szCs w:val="24"/>
        </w:rPr>
      </w:pPr>
      <w:bookmarkStart w:id="2" w:name="OLE_LINK2"/>
      <w:bookmarkStart w:id="3" w:name="OLE_LINK3"/>
      <w:bookmarkStart w:id="4" w:name="OLE_LINK1"/>
      <w:r>
        <w:rPr>
          <w:rFonts w:hint="eastAsia" w:ascii="宋体" w:hAnsi="宋体"/>
          <w:b/>
          <w:color w:val="auto"/>
          <w:sz w:val="24"/>
          <w:szCs w:val="24"/>
        </w:rPr>
        <w:t>一、项目编号：</w:t>
      </w:r>
      <w:r>
        <w:rPr>
          <w:rFonts w:hint="eastAsia" w:ascii="宋体" w:hAnsi="宋体"/>
          <w:b w:val="0"/>
          <w:bCs/>
          <w:color w:val="auto"/>
          <w:sz w:val="24"/>
          <w:szCs w:val="24"/>
        </w:rPr>
        <w:t>LZZC2025-C3-990727-GXDD</w:t>
      </w:r>
    </w:p>
    <w:p w14:paraId="4EC18DA5">
      <w:pPr>
        <w:keepNext w:val="0"/>
        <w:keepLines w:val="0"/>
        <w:pageBreakBefore w:val="0"/>
        <w:widowControl/>
        <w:kinsoku/>
        <w:overflowPunct/>
        <w:topLinePunct w:val="0"/>
        <w:autoSpaceDE/>
        <w:autoSpaceDN/>
        <w:bidi w:val="0"/>
        <w:adjustRightInd/>
        <w:snapToGrid/>
        <w:spacing w:line="400" w:lineRule="exact"/>
        <w:textAlignment w:val="auto"/>
        <w:rPr>
          <w:rFonts w:ascii="宋体" w:hAnsi="宋体"/>
          <w:color w:val="auto"/>
          <w:sz w:val="24"/>
          <w:szCs w:val="24"/>
        </w:rPr>
      </w:pPr>
      <w:r>
        <w:rPr>
          <w:rFonts w:hint="eastAsia" w:ascii="宋体" w:hAnsi="宋体"/>
          <w:b/>
          <w:color w:val="auto"/>
          <w:sz w:val="24"/>
          <w:szCs w:val="24"/>
        </w:rPr>
        <w:t>二、项目名称：</w:t>
      </w:r>
      <w:r>
        <w:rPr>
          <w:rFonts w:hint="eastAsia" w:ascii="宋体" w:hAnsi="宋体"/>
          <w:b w:val="0"/>
          <w:bCs/>
          <w:color w:val="auto"/>
          <w:sz w:val="24"/>
          <w:szCs w:val="24"/>
        </w:rPr>
        <w:t>柳州职业技术大学2025-2026年社会租用车辆服务采购（重）</w:t>
      </w:r>
    </w:p>
    <w:p w14:paraId="282FD4C8">
      <w:pPr>
        <w:keepNext w:val="0"/>
        <w:keepLines w:val="0"/>
        <w:pageBreakBefore w:val="0"/>
        <w:widowControl/>
        <w:kinsoku/>
        <w:overflowPunct/>
        <w:topLinePunct w:val="0"/>
        <w:autoSpaceDE/>
        <w:autoSpaceDN/>
        <w:bidi w:val="0"/>
        <w:adjustRightInd/>
        <w:snapToGrid/>
        <w:spacing w:line="400" w:lineRule="exact"/>
        <w:textAlignment w:val="auto"/>
        <w:rPr>
          <w:rFonts w:ascii="宋体" w:hAnsi="宋体"/>
          <w:b/>
          <w:color w:val="auto"/>
          <w:sz w:val="24"/>
          <w:szCs w:val="24"/>
        </w:rPr>
      </w:pPr>
      <w:r>
        <w:rPr>
          <w:rFonts w:hint="eastAsia" w:ascii="宋体" w:hAnsi="宋体"/>
          <w:b/>
          <w:color w:val="auto"/>
          <w:sz w:val="24"/>
          <w:szCs w:val="24"/>
        </w:rPr>
        <w:t>三、中标（成交）信息</w:t>
      </w:r>
    </w:p>
    <w:p w14:paraId="11537FF1">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ascii="仿宋" w:hAnsi="仿宋" w:cs="宋体"/>
          <w:color w:val="auto"/>
          <w:kern w:val="0"/>
          <w:sz w:val="27"/>
          <w:szCs w:val="27"/>
        </w:rPr>
      </w:pPr>
      <w:r>
        <w:rPr>
          <w:rFonts w:ascii="宋体" w:hAnsi="宋体"/>
          <w:color w:val="auto"/>
          <w:sz w:val="24"/>
          <w:szCs w:val="24"/>
        </w:rPr>
        <w:t>1.中标结果：</w:t>
      </w:r>
    </w:p>
    <w:tbl>
      <w:tblPr>
        <w:tblStyle w:val="10"/>
        <w:tblW w:w="1006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2790"/>
        <w:gridCol w:w="3195"/>
        <w:gridCol w:w="3513"/>
      </w:tblGrid>
      <w:tr w14:paraId="6A8F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567" w:type="dxa"/>
            <w:shd w:val="clear" w:color="auto" w:fill="FFFFFF"/>
            <w:tcMar>
              <w:top w:w="75" w:type="dxa"/>
              <w:left w:w="150" w:type="dxa"/>
              <w:bottom w:w="75" w:type="dxa"/>
              <w:right w:w="150" w:type="dxa"/>
            </w:tcMar>
            <w:vAlign w:val="center"/>
          </w:tcPr>
          <w:p w14:paraId="154621AA">
            <w:pPr>
              <w:keepNext w:val="0"/>
              <w:keepLines w:val="0"/>
              <w:pageBreakBefore w:val="0"/>
              <w:widowControl/>
              <w:kinsoku/>
              <w:wordWrap w:val="0"/>
              <w:overflowPunct/>
              <w:topLinePunct w:val="0"/>
              <w:autoSpaceDE/>
              <w:autoSpaceDN/>
              <w:bidi w:val="0"/>
              <w:adjustRightInd/>
              <w:snapToGrid/>
              <w:spacing w:line="3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序</w:t>
            </w:r>
            <w:r>
              <w:rPr>
                <w:rFonts w:ascii="宋体" w:hAnsi="宋体" w:cs="宋体"/>
                <w:b/>
                <w:bCs/>
                <w:color w:val="auto"/>
                <w:kern w:val="0"/>
                <w:sz w:val="24"/>
                <w:szCs w:val="24"/>
              </w:rPr>
              <w:t>号</w:t>
            </w:r>
          </w:p>
        </w:tc>
        <w:tc>
          <w:tcPr>
            <w:tcW w:w="2790" w:type="dxa"/>
            <w:shd w:val="clear" w:color="auto" w:fill="FFFFFF"/>
            <w:tcMar>
              <w:top w:w="75" w:type="dxa"/>
              <w:left w:w="150" w:type="dxa"/>
              <w:bottom w:w="75" w:type="dxa"/>
              <w:right w:w="150" w:type="dxa"/>
            </w:tcMar>
            <w:vAlign w:val="center"/>
          </w:tcPr>
          <w:p w14:paraId="41DDAA7C">
            <w:pPr>
              <w:keepNext w:val="0"/>
              <w:keepLines w:val="0"/>
              <w:pageBreakBefore w:val="0"/>
              <w:widowControl/>
              <w:kinsoku/>
              <w:overflowPunct/>
              <w:topLinePunct w:val="0"/>
              <w:autoSpaceDE/>
              <w:autoSpaceDN/>
              <w:bidi w:val="0"/>
              <w:adjustRightInd/>
              <w:snapToGrid/>
              <w:spacing w:line="380" w:lineRule="exact"/>
              <w:jc w:val="center"/>
              <w:textAlignment w:val="auto"/>
              <w:rPr>
                <w:rFonts w:ascii="宋体" w:hAnsi="宋体" w:cs="宋体"/>
                <w:b/>
                <w:bCs/>
                <w:color w:val="auto"/>
                <w:kern w:val="0"/>
                <w:sz w:val="24"/>
                <w:szCs w:val="24"/>
              </w:rPr>
            </w:pPr>
            <w:r>
              <w:rPr>
                <w:rFonts w:ascii="宋体" w:hAnsi="宋体" w:cs="宋体"/>
                <w:b/>
                <w:bCs/>
                <w:color w:val="auto"/>
                <w:kern w:val="0"/>
                <w:sz w:val="24"/>
                <w:szCs w:val="24"/>
              </w:rPr>
              <w:t>中标（成交）金额(元)</w:t>
            </w:r>
          </w:p>
        </w:tc>
        <w:tc>
          <w:tcPr>
            <w:tcW w:w="3195" w:type="dxa"/>
            <w:shd w:val="clear" w:color="auto" w:fill="FFFFFF"/>
            <w:tcMar>
              <w:top w:w="75" w:type="dxa"/>
              <w:left w:w="150" w:type="dxa"/>
              <w:bottom w:w="75" w:type="dxa"/>
              <w:right w:w="150" w:type="dxa"/>
            </w:tcMar>
            <w:vAlign w:val="center"/>
          </w:tcPr>
          <w:p w14:paraId="2F4CA58D">
            <w:pPr>
              <w:keepNext w:val="0"/>
              <w:keepLines w:val="0"/>
              <w:pageBreakBefore w:val="0"/>
              <w:widowControl/>
              <w:kinsoku/>
              <w:overflowPunct/>
              <w:topLinePunct w:val="0"/>
              <w:autoSpaceDE/>
              <w:autoSpaceDN/>
              <w:bidi w:val="0"/>
              <w:adjustRightInd/>
              <w:snapToGrid/>
              <w:spacing w:line="380" w:lineRule="exact"/>
              <w:jc w:val="center"/>
              <w:textAlignment w:val="auto"/>
              <w:rPr>
                <w:rFonts w:ascii="宋体" w:hAnsi="宋体" w:cs="宋体"/>
                <w:b/>
                <w:bCs/>
                <w:color w:val="auto"/>
                <w:kern w:val="0"/>
                <w:sz w:val="24"/>
                <w:szCs w:val="24"/>
              </w:rPr>
            </w:pPr>
            <w:r>
              <w:rPr>
                <w:rFonts w:ascii="宋体" w:hAnsi="宋体" w:cs="宋体"/>
                <w:b/>
                <w:bCs/>
                <w:color w:val="auto"/>
                <w:kern w:val="0"/>
                <w:sz w:val="24"/>
                <w:szCs w:val="24"/>
              </w:rPr>
              <w:t>中标供应商名称</w:t>
            </w:r>
          </w:p>
        </w:tc>
        <w:tc>
          <w:tcPr>
            <w:tcW w:w="3513" w:type="dxa"/>
            <w:shd w:val="clear" w:color="auto" w:fill="FFFFFF"/>
            <w:tcMar>
              <w:top w:w="75" w:type="dxa"/>
              <w:left w:w="150" w:type="dxa"/>
              <w:bottom w:w="75" w:type="dxa"/>
              <w:right w:w="150" w:type="dxa"/>
            </w:tcMar>
            <w:vAlign w:val="center"/>
          </w:tcPr>
          <w:p w14:paraId="11CEF76F">
            <w:pPr>
              <w:keepNext w:val="0"/>
              <w:keepLines w:val="0"/>
              <w:pageBreakBefore w:val="0"/>
              <w:widowControl/>
              <w:kinsoku/>
              <w:overflowPunct/>
              <w:topLinePunct w:val="0"/>
              <w:autoSpaceDE/>
              <w:autoSpaceDN/>
              <w:bidi w:val="0"/>
              <w:adjustRightInd/>
              <w:snapToGrid/>
              <w:spacing w:line="380" w:lineRule="exact"/>
              <w:jc w:val="center"/>
              <w:textAlignment w:val="auto"/>
              <w:rPr>
                <w:rFonts w:ascii="宋体" w:hAnsi="宋体" w:cs="宋体"/>
                <w:b/>
                <w:bCs/>
                <w:color w:val="auto"/>
                <w:kern w:val="0"/>
                <w:sz w:val="24"/>
                <w:szCs w:val="24"/>
              </w:rPr>
            </w:pPr>
            <w:r>
              <w:rPr>
                <w:rFonts w:ascii="宋体" w:hAnsi="宋体" w:cs="宋体"/>
                <w:b/>
                <w:bCs/>
                <w:color w:val="auto"/>
                <w:kern w:val="0"/>
                <w:sz w:val="24"/>
                <w:szCs w:val="24"/>
              </w:rPr>
              <w:t>中标供应商地址</w:t>
            </w:r>
          </w:p>
        </w:tc>
      </w:tr>
      <w:tr w14:paraId="1DD4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7" w:hRule="atLeast"/>
        </w:trPr>
        <w:tc>
          <w:tcPr>
            <w:tcW w:w="567" w:type="dxa"/>
            <w:tcMar>
              <w:top w:w="75" w:type="dxa"/>
              <w:left w:w="150" w:type="dxa"/>
              <w:bottom w:w="75" w:type="dxa"/>
              <w:right w:w="150" w:type="dxa"/>
            </w:tcMar>
            <w:vAlign w:val="center"/>
          </w:tcPr>
          <w:p w14:paraId="1D30CBA7">
            <w:pPr>
              <w:keepNext w:val="0"/>
              <w:keepLines w:val="0"/>
              <w:pageBreakBefore w:val="0"/>
              <w:widowControl/>
              <w:kinsoku/>
              <w:overflowPunct/>
              <w:topLinePunct w:val="0"/>
              <w:autoSpaceDE/>
              <w:autoSpaceDN/>
              <w:bidi w:val="0"/>
              <w:adjustRightInd/>
              <w:snapToGrid/>
              <w:spacing w:line="38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p>
        </w:tc>
        <w:tc>
          <w:tcPr>
            <w:tcW w:w="2790" w:type="dxa"/>
            <w:tcMar>
              <w:top w:w="75" w:type="dxa"/>
              <w:left w:w="150" w:type="dxa"/>
              <w:bottom w:w="75" w:type="dxa"/>
              <w:right w:w="150" w:type="dxa"/>
            </w:tcMar>
            <w:vAlign w:val="center"/>
          </w:tcPr>
          <w:p w14:paraId="4B2B5AA2">
            <w:pPr>
              <w:keepNext w:val="0"/>
              <w:keepLines w:val="0"/>
              <w:pageBreakBefore w:val="0"/>
              <w:widowControl/>
              <w:kinsoku/>
              <w:wordWrap w:val="0"/>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hint="eastAsia" w:ascii="宋体" w:hAnsi="宋体"/>
                <w:color w:val="auto"/>
                <w:sz w:val="24"/>
                <w:szCs w:val="24"/>
                <w:lang w:val="en-US" w:eastAsia="zh-CN"/>
              </w:rPr>
              <w:t>报价</w:t>
            </w:r>
            <w:r>
              <w:rPr>
                <w:rFonts w:hint="eastAsia" w:ascii="宋体" w:hAnsi="宋体"/>
                <w:color w:val="auto"/>
                <w:sz w:val="24"/>
                <w:szCs w:val="24"/>
                <w:lang w:eastAsia="zh-CN"/>
              </w:rPr>
              <w:t>：</w:t>
            </w:r>
            <w:r>
              <w:rPr>
                <w:rFonts w:hint="eastAsia" w:ascii="宋体" w:hAnsi="宋体"/>
                <w:color w:val="auto"/>
                <w:sz w:val="24"/>
                <w:szCs w:val="24"/>
                <w:lang w:val="en-US" w:eastAsia="zh-CN"/>
              </w:rPr>
              <w:t>99</w:t>
            </w:r>
            <w:r>
              <w:rPr>
                <w:rFonts w:ascii="宋体" w:hAnsi="宋体"/>
                <w:color w:val="auto"/>
                <w:sz w:val="24"/>
                <w:szCs w:val="24"/>
              </w:rPr>
              <w:t>(</w:t>
            </w:r>
            <w:r>
              <w:rPr>
                <w:rFonts w:hint="eastAsia" w:ascii="宋体" w:hAnsi="宋体"/>
                <w:color w:val="auto"/>
                <w:sz w:val="24"/>
                <w:szCs w:val="24"/>
                <w:lang w:val="en-US" w:eastAsia="zh-CN"/>
              </w:rPr>
              <w:t>%</w:t>
            </w:r>
            <w:r>
              <w:rPr>
                <w:rFonts w:ascii="宋体" w:hAnsi="宋体"/>
                <w:color w:val="auto"/>
                <w:sz w:val="24"/>
                <w:szCs w:val="24"/>
              </w:rPr>
              <w:t>)</w:t>
            </w:r>
          </w:p>
        </w:tc>
        <w:tc>
          <w:tcPr>
            <w:tcW w:w="3195" w:type="dxa"/>
            <w:tcMar>
              <w:top w:w="75" w:type="dxa"/>
              <w:left w:w="150" w:type="dxa"/>
              <w:bottom w:w="75" w:type="dxa"/>
              <w:right w:w="150" w:type="dxa"/>
            </w:tcMar>
            <w:vAlign w:val="center"/>
          </w:tcPr>
          <w:p w14:paraId="0B4DEA0B">
            <w:pPr>
              <w:keepNext w:val="0"/>
              <w:keepLines w:val="0"/>
              <w:pageBreakBefore w:val="0"/>
              <w:widowControl/>
              <w:kinsoku/>
              <w:overflowPunct/>
              <w:topLinePunct w:val="0"/>
              <w:autoSpaceDE/>
              <w:autoSpaceDN/>
              <w:bidi w:val="0"/>
              <w:adjustRightInd/>
              <w:snapToGrid/>
              <w:spacing w:line="38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柳州市第二运输有限责任公司客运分公司</w:t>
            </w:r>
          </w:p>
        </w:tc>
        <w:tc>
          <w:tcPr>
            <w:tcW w:w="3513" w:type="dxa"/>
            <w:tcMar>
              <w:top w:w="75" w:type="dxa"/>
              <w:left w:w="150" w:type="dxa"/>
              <w:bottom w:w="75" w:type="dxa"/>
              <w:right w:w="150" w:type="dxa"/>
            </w:tcMar>
            <w:vAlign w:val="center"/>
          </w:tcPr>
          <w:p w14:paraId="2D539C30">
            <w:pPr>
              <w:keepNext w:val="0"/>
              <w:keepLines w:val="0"/>
              <w:pageBreakBefore w:val="0"/>
              <w:widowControl/>
              <w:kinsoku/>
              <w:overflowPunct/>
              <w:topLinePunct w:val="0"/>
              <w:autoSpaceDE/>
              <w:autoSpaceDN/>
              <w:bidi w:val="0"/>
              <w:adjustRightInd/>
              <w:snapToGrid/>
              <w:spacing w:line="380" w:lineRule="exact"/>
              <w:jc w:val="center"/>
              <w:textAlignment w:val="auto"/>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柳州市跃进路</w:t>
            </w:r>
            <w:r>
              <w:rPr>
                <w:rFonts w:hint="eastAsia" w:ascii="宋体" w:hAnsi="宋体"/>
                <w:color w:val="auto"/>
                <w:sz w:val="24"/>
                <w:szCs w:val="24"/>
                <w:highlight w:val="none"/>
                <w:lang w:val="en-US" w:eastAsia="zh-CN"/>
              </w:rPr>
              <w:t>114</w:t>
            </w:r>
            <w:r>
              <w:rPr>
                <w:rFonts w:hint="default" w:ascii="宋体" w:hAnsi="宋体" w:eastAsia="宋体"/>
                <w:color w:val="auto"/>
                <w:sz w:val="24"/>
                <w:szCs w:val="24"/>
                <w:highlight w:val="none"/>
                <w:lang w:val="en-US" w:eastAsia="zh-CN"/>
              </w:rPr>
              <w:t>号</w:t>
            </w:r>
          </w:p>
        </w:tc>
      </w:tr>
    </w:tbl>
    <w:p w14:paraId="122454A7">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ascii="仿宋" w:hAnsi="仿宋" w:cs="宋体"/>
          <w:color w:val="auto"/>
          <w:kern w:val="0"/>
          <w:sz w:val="27"/>
          <w:szCs w:val="27"/>
        </w:rPr>
      </w:pPr>
      <w:r>
        <w:rPr>
          <w:rFonts w:ascii="宋体" w:hAnsi="宋体"/>
          <w:color w:val="auto"/>
          <w:sz w:val="24"/>
          <w:szCs w:val="24"/>
        </w:rPr>
        <w:t>2.废标结果:</w:t>
      </w:r>
    </w:p>
    <w:tbl>
      <w:tblPr>
        <w:tblStyle w:val="10"/>
        <w:tblW w:w="5059"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31"/>
        <w:gridCol w:w="2483"/>
        <w:gridCol w:w="2483"/>
        <w:gridCol w:w="2758"/>
      </w:tblGrid>
      <w:tr w14:paraId="3B4E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9" w:type="pct"/>
            <w:tcMar>
              <w:top w:w="75" w:type="dxa"/>
              <w:left w:w="150" w:type="dxa"/>
              <w:bottom w:w="75" w:type="dxa"/>
              <w:right w:w="150" w:type="dxa"/>
            </w:tcMar>
            <w:vAlign w:val="center"/>
          </w:tcPr>
          <w:p w14:paraId="017B893F">
            <w:pPr>
              <w:keepNext w:val="0"/>
              <w:keepLines w:val="0"/>
              <w:pageBreakBefore w:val="0"/>
              <w:widowControl/>
              <w:kinsoku/>
              <w:overflowPunct/>
              <w:topLinePunct w:val="0"/>
              <w:autoSpaceDE/>
              <w:autoSpaceDN/>
              <w:bidi w:val="0"/>
              <w:adjustRightInd/>
              <w:snapToGrid/>
              <w:spacing w:line="400" w:lineRule="exact"/>
              <w:jc w:val="center"/>
              <w:textAlignment w:val="auto"/>
              <w:rPr>
                <w:rFonts w:ascii="宋体" w:hAnsi="宋体"/>
                <w:color w:val="auto"/>
                <w:sz w:val="24"/>
                <w:szCs w:val="24"/>
              </w:rPr>
            </w:pPr>
            <w:r>
              <w:rPr>
                <w:rFonts w:ascii="宋体" w:hAnsi="宋体"/>
                <w:color w:val="auto"/>
                <w:sz w:val="24"/>
                <w:szCs w:val="24"/>
              </w:rPr>
              <w:t>序号</w:t>
            </w:r>
          </w:p>
        </w:tc>
        <w:tc>
          <w:tcPr>
            <w:tcW w:w="1234" w:type="pct"/>
            <w:tcMar>
              <w:top w:w="75" w:type="dxa"/>
              <w:left w:w="150" w:type="dxa"/>
              <w:bottom w:w="75" w:type="dxa"/>
              <w:right w:w="150" w:type="dxa"/>
            </w:tcMar>
            <w:vAlign w:val="center"/>
          </w:tcPr>
          <w:p w14:paraId="1E0B9C18">
            <w:pPr>
              <w:keepNext w:val="0"/>
              <w:keepLines w:val="0"/>
              <w:pageBreakBefore w:val="0"/>
              <w:widowControl/>
              <w:kinsoku/>
              <w:overflowPunct/>
              <w:topLinePunct w:val="0"/>
              <w:autoSpaceDE/>
              <w:autoSpaceDN/>
              <w:bidi w:val="0"/>
              <w:adjustRightInd/>
              <w:snapToGrid/>
              <w:spacing w:line="400" w:lineRule="exact"/>
              <w:jc w:val="center"/>
              <w:textAlignment w:val="auto"/>
              <w:rPr>
                <w:rFonts w:ascii="宋体" w:hAnsi="宋体"/>
                <w:color w:val="auto"/>
                <w:sz w:val="24"/>
                <w:szCs w:val="24"/>
              </w:rPr>
            </w:pPr>
            <w:r>
              <w:rPr>
                <w:rFonts w:ascii="宋体" w:hAnsi="宋体"/>
                <w:color w:val="auto"/>
                <w:sz w:val="24"/>
                <w:szCs w:val="24"/>
              </w:rPr>
              <w:t>标项名称</w:t>
            </w:r>
          </w:p>
        </w:tc>
        <w:tc>
          <w:tcPr>
            <w:tcW w:w="1234" w:type="pct"/>
            <w:tcMar>
              <w:top w:w="75" w:type="dxa"/>
              <w:left w:w="150" w:type="dxa"/>
              <w:bottom w:w="75" w:type="dxa"/>
              <w:right w:w="150" w:type="dxa"/>
            </w:tcMar>
            <w:vAlign w:val="center"/>
          </w:tcPr>
          <w:p w14:paraId="5E1CE975">
            <w:pPr>
              <w:keepNext w:val="0"/>
              <w:keepLines w:val="0"/>
              <w:pageBreakBefore w:val="0"/>
              <w:widowControl/>
              <w:kinsoku/>
              <w:overflowPunct/>
              <w:topLinePunct w:val="0"/>
              <w:autoSpaceDE/>
              <w:autoSpaceDN/>
              <w:bidi w:val="0"/>
              <w:adjustRightInd/>
              <w:snapToGrid/>
              <w:spacing w:line="400" w:lineRule="exact"/>
              <w:jc w:val="center"/>
              <w:textAlignment w:val="auto"/>
              <w:rPr>
                <w:rFonts w:ascii="宋体" w:hAnsi="宋体"/>
                <w:color w:val="auto"/>
                <w:sz w:val="24"/>
                <w:szCs w:val="24"/>
              </w:rPr>
            </w:pPr>
            <w:r>
              <w:rPr>
                <w:rFonts w:ascii="宋体" w:hAnsi="宋体"/>
                <w:color w:val="auto"/>
                <w:sz w:val="24"/>
                <w:szCs w:val="24"/>
              </w:rPr>
              <w:t>废标理由</w:t>
            </w:r>
          </w:p>
        </w:tc>
        <w:tc>
          <w:tcPr>
            <w:tcW w:w="1371" w:type="pct"/>
            <w:tcMar>
              <w:top w:w="75" w:type="dxa"/>
              <w:left w:w="150" w:type="dxa"/>
              <w:bottom w:w="75" w:type="dxa"/>
              <w:right w:w="150" w:type="dxa"/>
            </w:tcMar>
            <w:vAlign w:val="center"/>
          </w:tcPr>
          <w:p w14:paraId="4ED6AC1C">
            <w:pPr>
              <w:keepNext w:val="0"/>
              <w:keepLines w:val="0"/>
              <w:pageBreakBefore w:val="0"/>
              <w:widowControl/>
              <w:kinsoku/>
              <w:overflowPunct/>
              <w:topLinePunct w:val="0"/>
              <w:autoSpaceDE/>
              <w:autoSpaceDN/>
              <w:bidi w:val="0"/>
              <w:adjustRightInd/>
              <w:snapToGrid/>
              <w:spacing w:line="400" w:lineRule="exact"/>
              <w:jc w:val="center"/>
              <w:textAlignment w:val="auto"/>
              <w:rPr>
                <w:rFonts w:ascii="宋体" w:hAnsi="宋体"/>
                <w:color w:val="auto"/>
                <w:sz w:val="24"/>
                <w:szCs w:val="24"/>
              </w:rPr>
            </w:pPr>
            <w:r>
              <w:rPr>
                <w:rFonts w:ascii="宋体" w:hAnsi="宋体"/>
                <w:color w:val="auto"/>
                <w:sz w:val="24"/>
                <w:szCs w:val="24"/>
              </w:rPr>
              <w:t>其他事项</w:t>
            </w:r>
          </w:p>
        </w:tc>
      </w:tr>
    </w:tbl>
    <w:p w14:paraId="70152A0B">
      <w:pPr>
        <w:keepNext w:val="0"/>
        <w:keepLines w:val="0"/>
        <w:pageBreakBefore w:val="0"/>
        <w:widowControl/>
        <w:kinsoku/>
        <w:overflowPunct/>
        <w:topLinePunct w:val="0"/>
        <w:autoSpaceDE/>
        <w:autoSpaceDN/>
        <w:bidi w:val="0"/>
        <w:adjustRightInd/>
        <w:snapToGrid/>
        <w:spacing w:line="400" w:lineRule="exact"/>
        <w:jc w:val="left"/>
        <w:textAlignment w:val="auto"/>
        <w:rPr>
          <w:rFonts w:ascii="黑体" w:hAnsi="黑体" w:eastAsia="黑体" w:cs="宋体"/>
          <w:color w:val="auto"/>
          <w:kern w:val="0"/>
          <w:sz w:val="27"/>
          <w:szCs w:val="27"/>
        </w:rPr>
      </w:pPr>
      <w:r>
        <w:rPr>
          <w:rFonts w:hint="eastAsia" w:ascii="宋体" w:hAnsi="宋体"/>
          <w:b/>
          <w:color w:val="auto"/>
          <w:sz w:val="24"/>
          <w:szCs w:val="24"/>
        </w:rPr>
        <w:t>四、主要标的信息</w:t>
      </w:r>
    </w:p>
    <w:p w14:paraId="5986B1CD">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ascii="宋体" w:hAnsi="宋体"/>
          <w:color w:val="auto"/>
          <w:sz w:val="24"/>
          <w:szCs w:val="24"/>
        </w:rPr>
        <w:t>服务类主要标的信息：</w:t>
      </w:r>
    </w:p>
    <w:tbl>
      <w:tblPr>
        <w:tblStyle w:val="10"/>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2"/>
        <w:gridCol w:w="2145"/>
        <w:gridCol w:w="2160"/>
        <w:gridCol w:w="1215"/>
        <w:gridCol w:w="1200"/>
        <w:gridCol w:w="1650"/>
        <w:gridCol w:w="1098"/>
      </w:tblGrid>
      <w:tr w14:paraId="62C9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12" w:type="dxa"/>
            <w:vAlign w:val="center"/>
          </w:tcPr>
          <w:p w14:paraId="6822457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ascii="宋体" w:hAnsi="宋体"/>
                <w:color w:val="auto"/>
                <w:sz w:val="24"/>
                <w:szCs w:val="24"/>
              </w:rPr>
              <w:t>序号</w:t>
            </w:r>
          </w:p>
        </w:tc>
        <w:tc>
          <w:tcPr>
            <w:tcW w:w="2145" w:type="dxa"/>
            <w:vAlign w:val="center"/>
          </w:tcPr>
          <w:p w14:paraId="4DC5ECF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ascii="宋体" w:hAnsi="宋体"/>
                <w:color w:val="auto"/>
                <w:sz w:val="24"/>
                <w:szCs w:val="24"/>
              </w:rPr>
              <w:t>标项名称</w:t>
            </w:r>
          </w:p>
        </w:tc>
        <w:tc>
          <w:tcPr>
            <w:tcW w:w="2160" w:type="dxa"/>
            <w:vAlign w:val="center"/>
          </w:tcPr>
          <w:p w14:paraId="0D228B7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ascii="宋体" w:hAnsi="宋体"/>
                <w:color w:val="auto"/>
                <w:sz w:val="24"/>
                <w:szCs w:val="24"/>
              </w:rPr>
              <w:t>标的名称</w:t>
            </w:r>
          </w:p>
        </w:tc>
        <w:tc>
          <w:tcPr>
            <w:tcW w:w="1215" w:type="dxa"/>
            <w:vAlign w:val="center"/>
          </w:tcPr>
          <w:p w14:paraId="68C3651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ascii="宋体" w:hAnsi="宋体"/>
                <w:color w:val="auto"/>
                <w:sz w:val="24"/>
                <w:szCs w:val="24"/>
              </w:rPr>
              <w:t>服务范围</w:t>
            </w:r>
          </w:p>
        </w:tc>
        <w:tc>
          <w:tcPr>
            <w:tcW w:w="1200" w:type="dxa"/>
            <w:vAlign w:val="center"/>
          </w:tcPr>
          <w:p w14:paraId="0D1311E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ascii="宋体" w:hAnsi="宋体"/>
                <w:color w:val="auto"/>
                <w:sz w:val="24"/>
                <w:szCs w:val="24"/>
              </w:rPr>
              <w:t>服务要求</w:t>
            </w:r>
          </w:p>
        </w:tc>
        <w:tc>
          <w:tcPr>
            <w:tcW w:w="1650" w:type="dxa"/>
            <w:vAlign w:val="center"/>
          </w:tcPr>
          <w:p w14:paraId="386950A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hint="eastAsia" w:ascii="宋体" w:hAnsi="宋体"/>
                <w:color w:val="auto"/>
                <w:sz w:val="24"/>
                <w:szCs w:val="24"/>
              </w:rPr>
              <w:t>服务时间</w:t>
            </w:r>
          </w:p>
        </w:tc>
        <w:tc>
          <w:tcPr>
            <w:tcW w:w="1098" w:type="dxa"/>
            <w:vAlign w:val="center"/>
          </w:tcPr>
          <w:p w14:paraId="44F94A0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ascii="宋体" w:hAnsi="宋体"/>
                <w:color w:val="auto"/>
                <w:sz w:val="24"/>
                <w:szCs w:val="24"/>
              </w:rPr>
              <w:t>服务标准</w:t>
            </w:r>
          </w:p>
        </w:tc>
      </w:tr>
      <w:tr w14:paraId="2440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4" w:hRule="atLeast"/>
        </w:trPr>
        <w:tc>
          <w:tcPr>
            <w:tcW w:w="612" w:type="dxa"/>
            <w:vAlign w:val="center"/>
          </w:tcPr>
          <w:p w14:paraId="192B787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hint="eastAsia" w:ascii="宋体" w:hAnsi="宋体"/>
                <w:color w:val="auto"/>
                <w:sz w:val="24"/>
                <w:szCs w:val="24"/>
              </w:rPr>
              <w:t>1</w:t>
            </w:r>
          </w:p>
        </w:tc>
        <w:tc>
          <w:tcPr>
            <w:tcW w:w="2145" w:type="dxa"/>
            <w:vAlign w:val="center"/>
          </w:tcPr>
          <w:p w14:paraId="6FD1B14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hint="eastAsia" w:ascii="宋体" w:hAnsi="宋体"/>
                <w:color w:val="auto"/>
                <w:sz w:val="24"/>
                <w:szCs w:val="24"/>
              </w:rPr>
              <w:t>柳州职业技术大学2025-2026年社会租用车辆服务采购</w:t>
            </w:r>
          </w:p>
        </w:tc>
        <w:tc>
          <w:tcPr>
            <w:tcW w:w="2160" w:type="dxa"/>
            <w:vAlign w:val="center"/>
          </w:tcPr>
          <w:p w14:paraId="145CA48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hint="eastAsia" w:ascii="宋体" w:hAnsi="宋体"/>
                <w:color w:val="auto"/>
                <w:sz w:val="24"/>
                <w:szCs w:val="24"/>
              </w:rPr>
              <w:t>柳州职业技术大学2025-2026年社会租用车辆服务</w:t>
            </w:r>
          </w:p>
        </w:tc>
        <w:tc>
          <w:tcPr>
            <w:tcW w:w="1215" w:type="dxa"/>
            <w:vAlign w:val="center"/>
          </w:tcPr>
          <w:p w14:paraId="413CE52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hint="eastAsia" w:ascii="宋体" w:hAnsi="宋体"/>
                <w:color w:val="auto"/>
                <w:sz w:val="24"/>
                <w:szCs w:val="24"/>
              </w:rPr>
              <w:t>详见</w:t>
            </w:r>
            <w:r>
              <w:rPr>
                <w:rFonts w:hint="eastAsia" w:ascii="宋体" w:hAnsi="宋体"/>
                <w:color w:val="auto"/>
                <w:sz w:val="24"/>
                <w:szCs w:val="24"/>
                <w:lang w:eastAsia="zh-CN"/>
              </w:rPr>
              <w:t>采购</w:t>
            </w:r>
            <w:r>
              <w:rPr>
                <w:rFonts w:hint="eastAsia" w:ascii="宋体" w:hAnsi="宋体"/>
                <w:color w:val="auto"/>
                <w:sz w:val="24"/>
                <w:szCs w:val="24"/>
              </w:rPr>
              <w:t>文件</w:t>
            </w:r>
          </w:p>
        </w:tc>
        <w:tc>
          <w:tcPr>
            <w:tcW w:w="1200" w:type="dxa"/>
            <w:vAlign w:val="center"/>
          </w:tcPr>
          <w:p w14:paraId="0994A99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hint="eastAsia" w:ascii="宋体" w:hAnsi="宋体"/>
                <w:color w:val="auto"/>
                <w:sz w:val="24"/>
                <w:szCs w:val="24"/>
              </w:rPr>
              <w:t>详见</w:t>
            </w:r>
            <w:r>
              <w:rPr>
                <w:rFonts w:hint="eastAsia" w:ascii="宋体" w:hAnsi="宋体"/>
                <w:color w:val="auto"/>
                <w:sz w:val="24"/>
                <w:szCs w:val="24"/>
                <w:lang w:eastAsia="zh-CN"/>
              </w:rPr>
              <w:t>采购</w:t>
            </w:r>
            <w:r>
              <w:rPr>
                <w:rFonts w:hint="eastAsia" w:ascii="宋体" w:hAnsi="宋体"/>
                <w:color w:val="auto"/>
                <w:sz w:val="24"/>
                <w:szCs w:val="24"/>
              </w:rPr>
              <w:t>文件</w:t>
            </w:r>
          </w:p>
        </w:tc>
        <w:tc>
          <w:tcPr>
            <w:tcW w:w="1650" w:type="dxa"/>
            <w:vAlign w:val="center"/>
          </w:tcPr>
          <w:p w14:paraId="552D76F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详见采购</w:t>
            </w:r>
          </w:p>
          <w:p w14:paraId="7E8A168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文件</w:t>
            </w:r>
          </w:p>
        </w:tc>
        <w:tc>
          <w:tcPr>
            <w:tcW w:w="1098" w:type="dxa"/>
            <w:vAlign w:val="center"/>
          </w:tcPr>
          <w:p w14:paraId="2AE34C8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olor w:val="auto"/>
                <w:sz w:val="24"/>
                <w:szCs w:val="24"/>
              </w:rPr>
            </w:pPr>
            <w:r>
              <w:rPr>
                <w:rFonts w:hint="eastAsia" w:ascii="宋体" w:hAnsi="宋体"/>
                <w:color w:val="auto"/>
                <w:sz w:val="24"/>
                <w:szCs w:val="24"/>
              </w:rPr>
              <w:t>详见</w:t>
            </w:r>
            <w:r>
              <w:rPr>
                <w:rFonts w:hint="eastAsia" w:ascii="宋体" w:hAnsi="宋体"/>
                <w:color w:val="auto"/>
                <w:sz w:val="24"/>
                <w:szCs w:val="24"/>
                <w:lang w:eastAsia="zh-CN"/>
              </w:rPr>
              <w:t>采购</w:t>
            </w:r>
            <w:r>
              <w:rPr>
                <w:rFonts w:hint="eastAsia" w:ascii="宋体" w:hAnsi="宋体"/>
                <w:color w:val="auto"/>
                <w:sz w:val="24"/>
                <w:szCs w:val="24"/>
              </w:rPr>
              <w:t>文件</w:t>
            </w:r>
          </w:p>
        </w:tc>
      </w:tr>
    </w:tbl>
    <w:p w14:paraId="0B23F7EB">
      <w:pPr>
        <w:keepNext w:val="0"/>
        <w:keepLines w:val="0"/>
        <w:pageBreakBefore w:val="0"/>
        <w:widowControl/>
        <w:kinsoku/>
        <w:overflowPunct/>
        <w:topLinePunct w:val="0"/>
        <w:autoSpaceDE/>
        <w:autoSpaceDN/>
        <w:bidi w:val="0"/>
        <w:adjustRightInd/>
        <w:snapToGrid/>
        <w:spacing w:line="400" w:lineRule="exact"/>
        <w:jc w:val="left"/>
        <w:textAlignment w:val="auto"/>
        <w:rPr>
          <w:rFonts w:ascii="黑体" w:hAnsi="黑体" w:eastAsia="黑体" w:cs="宋体"/>
          <w:color w:val="auto"/>
          <w:kern w:val="0"/>
          <w:sz w:val="27"/>
          <w:szCs w:val="27"/>
        </w:rPr>
      </w:pPr>
      <w:r>
        <w:rPr>
          <w:rFonts w:hint="eastAsia" w:ascii="宋体" w:hAnsi="宋体"/>
          <w:b/>
          <w:color w:val="auto"/>
          <w:sz w:val="24"/>
          <w:szCs w:val="24"/>
        </w:rPr>
        <w:t>五、评审专家（单一来源采购人员）名单：</w:t>
      </w:r>
    </w:p>
    <w:p w14:paraId="4D2FF025">
      <w:pPr>
        <w:keepNext w:val="0"/>
        <w:keepLines w:val="0"/>
        <w:pageBreakBefore w:val="0"/>
        <w:widowControl/>
        <w:kinsoku/>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孟祥磊(</w:t>
      </w:r>
      <w:r>
        <w:rPr>
          <w:rFonts w:hint="eastAsia" w:ascii="宋体" w:hAnsi="宋体"/>
          <w:color w:val="auto"/>
          <w:sz w:val="24"/>
          <w:lang w:val="en-US" w:eastAsia="zh-CN"/>
        </w:rPr>
        <w:t>第1分标</w:t>
      </w:r>
      <w:r>
        <w:rPr>
          <w:rFonts w:hint="eastAsia" w:ascii="宋体" w:hAnsi="宋体"/>
          <w:color w:val="auto"/>
          <w:sz w:val="24"/>
        </w:rPr>
        <w:t>采购人代表)</w:t>
      </w:r>
      <w:r>
        <w:rPr>
          <w:rFonts w:hint="eastAsia" w:ascii="宋体" w:hAnsi="宋体"/>
          <w:color w:val="auto"/>
          <w:sz w:val="24"/>
          <w:lang w:eastAsia="zh-CN"/>
        </w:rPr>
        <w:t>，唐艺荣</w:t>
      </w:r>
      <w:r>
        <w:rPr>
          <w:rFonts w:hint="eastAsia" w:ascii="宋体" w:hAnsi="宋体"/>
          <w:color w:val="auto"/>
          <w:sz w:val="24"/>
          <w:lang w:val="en-US" w:eastAsia="zh-CN"/>
        </w:rPr>
        <w:t>，唐晓琴</w:t>
      </w:r>
    </w:p>
    <w:p w14:paraId="03BBB410">
      <w:pPr>
        <w:keepNext w:val="0"/>
        <w:keepLines w:val="0"/>
        <w:pageBreakBefore w:val="0"/>
        <w:widowControl/>
        <w:kinsoku/>
        <w:overflowPunct/>
        <w:topLinePunct w:val="0"/>
        <w:autoSpaceDE/>
        <w:autoSpaceDN/>
        <w:bidi w:val="0"/>
        <w:adjustRightInd/>
        <w:snapToGrid/>
        <w:spacing w:line="400" w:lineRule="exact"/>
        <w:textAlignment w:val="auto"/>
        <w:rPr>
          <w:rFonts w:ascii="黑体" w:hAnsi="黑体" w:eastAsia="黑体" w:cs="宋体"/>
          <w:color w:val="auto"/>
          <w:kern w:val="0"/>
          <w:sz w:val="27"/>
          <w:szCs w:val="27"/>
        </w:rPr>
      </w:pPr>
      <w:r>
        <w:rPr>
          <w:rFonts w:hint="eastAsia" w:ascii="宋体" w:hAnsi="宋体"/>
          <w:b/>
          <w:color w:val="auto"/>
          <w:sz w:val="24"/>
          <w:szCs w:val="24"/>
        </w:rPr>
        <w:t>六、代理服务收费标准及金额：</w:t>
      </w:r>
    </w:p>
    <w:p w14:paraId="77C3C314">
      <w:pPr>
        <w:keepNext w:val="0"/>
        <w:keepLines w:val="0"/>
        <w:pageBreakBefore w:val="0"/>
        <w:widowControl/>
        <w:kinsoku/>
        <w:overflowPunct/>
        <w:topLinePunct w:val="0"/>
        <w:autoSpaceDE/>
        <w:autoSpaceDN/>
        <w:bidi w:val="0"/>
        <w:adjustRightInd/>
        <w:snapToGrid/>
        <w:spacing w:line="400" w:lineRule="exact"/>
        <w:ind w:firstLine="480" w:firstLineChars="200"/>
        <w:textAlignment w:val="auto"/>
        <w:rPr>
          <w:rFonts w:ascii="宋体" w:hAnsi="宋体"/>
          <w:color w:val="auto"/>
          <w:sz w:val="24"/>
          <w:szCs w:val="24"/>
        </w:rPr>
      </w:pPr>
      <w:r>
        <w:rPr>
          <w:rFonts w:ascii="宋体" w:hAnsi="宋体"/>
          <w:color w:val="auto"/>
          <w:sz w:val="24"/>
          <w:szCs w:val="24"/>
        </w:rPr>
        <w:t>1.代理服务收费标准：</w:t>
      </w:r>
      <w:r>
        <w:rPr>
          <w:rFonts w:hint="eastAsia" w:ascii="宋体" w:hAnsi="宋体"/>
          <w:color w:val="auto"/>
          <w:sz w:val="24"/>
          <w:szCs w:val="24"/>
        </w:rPr>
        <w:t>本项目的代理服务费按固定金额人民币壹万叁仟伍佰元整（¥13500.00）收取，由成交供应商在领取成交通知书时，一次性向采购代理机构支付。</w:t>
      </w:r>
    </w:p>
    <w:p w14:paraId="0488E7D1">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olor w:val="auto"/>
          <w:sz w:val="24"/>
          <w:szCs w:val="24"/>
          <w:lang w:val="en-US" w:eastAsia="zh-CN"/>
        </w:rPr>
      </w:pPr>
      <w:r>
        <w:rPr>
          <w:rFonts w:ascii="宋体" w:hAnsi="宋体"/>
          <w:color w:val="auto"/>
          <w:sz w:val="24"/>
          <w:szCs w:val="24"/>
        </w:rPr>
        <w:t>2.代理服务收费金额（元）：</w:t>
      </w:r>
      <w:r>
        <w:rPr>
          <w:rFonts w:hint="eastAsia" w:ascii="宋体" w:hAnsi="宋体"/>
          <w:color w:val="auto"/>
          <w:sz w:val="24"/>
          <w:szCs w:val="24"/>
          <w:lang w:val="en-US" w:eastAsia="zh-CN"/>
        </w:rPr>
        <w:t>13500</w:t>
      </w:r>
    </w:p>
    <w:p w14:paraId="76E76F52">
      <w:pPr>
        <w:keepNext w:val="0"/>
        <w:keepLines w:val="0"/>
        <w:pageBreakBefore w:val="0"/>
        <w:widowControl/>
        <w:kinsoku/>
        <w:overflowPunct/>
        <w:topLinePunct w:val="0"/>
        <w:autoSpaceDE/>
        <w:autoSpaceDN/>
        <w:bidi w:val="0"/>
        <w:adjustRightInd/>
        <w:snapToGrid/>
        <w:spacing w:line="400" w:lineRule="exact"/>
        <w:textAlignment w:val="auto"/>
        <w:rPr>
          <w:rFonts w:ascii="宋体" w:hAnsi="宋体"/>
          <w:b/>
          <w:color w:val="auto"/>
          <w:sz w:val="24"/>
          <w:szCs w:val="24"/>
        </w:rPr>
      </w:pPr>
      <w:r>
        <w:rPr>
          <w:rFonts w:hint="eastAsia" w:ascii="宋体" w:hAnsi="宋体"/>
          <w:b/>
          <w:color w:val="auto"/>
          <w:sz w:val="24"/>
          <w:szCs w:val="24"/>
        </w:rPr>
        <w:t>七、公告期限</w:t>
      </w:r>
    </w:p>
    <w:p w14:paraId="13364601">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ascii="宋体" w:hAnsi="宋体"/>
          <w:color w:val="auto"/>
          <w:sz w:val="24"/>
          <w:szCs w:val="24"/>
        </w:rPr>
        <w:t>自本公告发布之日起1个工作日。</w:t>
      </w:r>
    </w:p>
    <w:p w14:paraId="3AD45D5F">
      <w:pPr>
        <w:keepNext w:val="0"/>
        <w:keepLines w:val="0"/>
        <w:pageBreakBefore w:val="0"/>
        <w:widowControl/>
        <w:kinsoku/>
        <w:overflowPunct/>
        <w:topLinePunct w:val="0"/>
        <w:autoSpaceDE/>
        <w:autoSpaceDN/>
        <w:bidi w:val="0"/>
        <w:adjustRightInd/>
        <w:snapToGrid/>
        <w:spacing w:line="400" w:lineRule="exact"/>
        <w:textAlignment w:val="auto"/>
        <w:rPr>
          <w:rFonts w:ascii="宋体" w:hAnsi="宋体"/>
          <w:b/>
          <w:color w:val="auto"/>
          <w:sz w:val="24"/>
          <w:szCs w:val="24"/>
        </w:rPr>
      </w:pPr>
      <w:r>
        <w:rPr>
          <w:rFonts w:hint="eastAsia" w:ascii="宋体" w:hAnsi="宋体"/>
          <w:b/>
          <w:color w:val="auto"/>
          <w:sz w:val="24"/>
          <w:szCs w:val="24"/>
        </w:rPr>
        <w:t>八、其他补充事宜</w:t>
      </w:r>
    </w:p>
    <w:p w14:paraId="0466B990">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left"/>
        <w:textAlignment w:val="auto"/>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1.网上查询地址：www.ccgp.gov.cn（中国政府采购网）、zfcg.gxzf.gov.cn（广西壮族自治区政府采购网）、zfcg.lzscz.liuzhou.gov.cn（广西柳州政府采购网）。</w:t>
      </w:r>
    </w:p>
    <w:p w14:paraId="67FDF539">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2.供应商认为成交结果使自己的权益受到损害的，可以在成交结果公告期限届满之日起七个工作日内以书面形式向采购人或采购代理机构提出质疑，逾期将不再受理。</w:t>
      </w:r>
    </w:p>
    <w:p w14:paraId="49C37B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.成交供应商评审总得分：68.80</w:t>
      </w:r>
      <w:r>
        <w:rPr>
          <w:rFonts w:hint="eastAsia" w:ascii="宋体" w:hAnsi="宋体" w:cs="宋体"/>
          <w:color w:val="auto"/>
          <w:sz w:val="24"/>
          <w:szCs w:val="24"/>
          <w:lang w:val="en-US" w:eastAsia="zh-CN"/>
        </w:rPr>
        <w:t>。</w:t>
      </w:r>
    </w:p>
    <w:p w14:paraId="59B12A55">
      <w:pPr>
        <w:keepNext w:val="0"/>
        <w:keepLines w:val="0"/>
        <w:pageBreakBefore w:val="0"/>
        <w:widowControl/>
        <w:kinsoku/>
        <w:overflowPunct/>
        <w:topLinePunct w:val="0"/>
        <w:autoSpaceDE/>
        <w:autoSpaceDN/>
        <w:bidi w:val="0"/>
        <w:adjustRightInd/>
        <w:snapToGrid/>
        <w:spacing w:line="400" w:lineRule="exact"/>
        <w:textAlignment w:val="auto"/>
        <w:rPr>
          <w:rFonts w:ascii="宋体" w:hAnsi="宋体"/>
          <w:b/>
          <w:color w:val="auto"/>
          <w:sz w:val="24"/>
          <w:szCs w:val="24"/>
        </w:rPr>
      </w:pPr>
      <w:r>
        <w:rPr>
          <w:rFonts w:hint="eastAsia" w:ascii="宋体" w:hAnsi="宋体"/>
          <w:b/>
          <w:color w:val="auto"/>
          <w:sz w:val="24"/>
          <w:szCs w:val="24"/>
        </w:rPr>
        <w:t>九、对本次公告内容提出询问，请按以下方式联系</w:t>
      </w:r>
    </w:p>
    <w:p w14:paraId="764DBC75">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ascii="宋体" w:hAnsi="宋体" w:cs="宋体"/>
          <w:color w:val="auto"/>
          <w:kern w:val="0"/>
          <w:sz w:val="24"/>
          <w:szCs w:val="24"/>
        </w:rPr>
        <w:t>1.采购人信息</w:t>
      </w:r>
    </w:p>
    <w:p w14:paraId="381AD394">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ascii="宋体" w:hAnsi="宋体" w:cs="宋体"/>
          <w:color w:val="auto"/>
          <w:kern w:val="0"/>
          <w:sz w:val="24"/>
          <w:szCs w:val="24"/>
        </w:rPr>
        <w:t>名称：</w:t>
      </w:r>
      <w:r>
        <w:rPr>
          <w:rFonts w:hint="eastAsia" w:ascii="宋体" w:hAnsi="宋体" w:cs="宋体"/>
          <w:color w:val="auto"/>
          <w:kern w:val="0"/>
          <w:sz w:val="24"/>
          <w:szCs w:val="24"/>
        </w:rPr>
        <w:t>柳州职业技术大学</w:t>
      </w:r>
    </w:p>
    <w:p w14:paraId="248C99F5">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ascii="宋体" w:hAnsi="宋体" w:cs="宋体"/>
          <w:color w:val="auto"/>
          <w:kern w:val="0"/>
          <w:sz w:val="24"/>
          <w:szCs w:val="24"/>
        </w:rPr>
        <w:t>地址：</w:t>
      </w:r>
      <w:r>
        <w:rPr>
          <w:rFonts w:hint="eastAsia" w:ascii="宋体" w:hAnsi="宋体" w:cs="宋体"/>
          <w:color w:val="auto"/>
          <w:kern w:val="0"/>
          <w:sz w:val="24"/>
          <w:szCs w:val="24"/>
        </w:rPr>
        <w:t>柳州市社湾路28号</w:t>
      </w:r>
    </w:p>
    <w:p w14:paraId="300C0E37">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ascii="宋体" w:hAnsi="宋体" w:cs="宋体"/>
          <w:color w:val="auto"/>
          <w:kern w:val="0"/>
          <w:sz w:val="24"/>
          <w:szCs w:val="24"/>
        </w:rPr>
        <w:t>联系方式：</w:t>
      </w:r>
      <w:r>
        <w:rPr>
          <w:rFonts w:hint="eastAsia" w:ascii="宋体" w:hAnsi="宋体" w:cs="宋体"/>
          <w:color w:val="auto"/>
          <w:kern w:val="0"/>
          <w:sz w:val="24"/>
          <w:szCs w:val="24"/>
        </w:rPr>
        <w:t>0772-3156307</w:t>
      </w:r>
    </w:p>
    <w:p w14:paraId="7BD39273">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ascii="宋体" w:hAnsi="宋体" w:cs="宋体"/>
          <w:color w:val="auto"/>
          <w:kern w:val="0"/>
          <w:sz w:val="24"/>
          <w:szCs w:val="24"/>
        </w:rPr>
        <w:t>2.采购代理机构信息</w:t>
      </w:r>
    </w:p>
    <w:p w14:paraId="11EC73E1">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名称：广西大德项目管理有限公司</w:t>
      </w:r>
    </w:p>
    <w:p w14:paraId="2490EF2B">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地址：柳州市潭中东路17号华信国际B座910</w:t>
      </w:r>
    </w:p>
    <w:p w14:paraId="72A430EB">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联系方式：</w:t>
      </w:r>
      <w:r>
        <w:rPr>
          <w:rFonts w:ascii="宋体" w:hAnsi="宋体" w:cs="宋体"/>
          <w:color w:val="auto"/>
          <w:kern w:val="0"/>
          <w:sz w:val="24"/>
          <w:szCs w:val="24"/>
        </w:rPr>
        <w:t>0772-2120191</w:t>
      </w:r>
    </w:p>
    <w:p w14:paraId="50542D0A">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3.项目联系方式</w:t>
      </w:r>
    </w:p>
    <w:p w14:paraId="6255A225">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项目联系人：覃炳、邱光旭</w:t>
      </w:r>
    </w:p>
    <w:p w14:paraId="1F719CA1">
      <w:pPr>
        <w:keepNext w:val="0"/>
        <w:keepLines w:val="0"/>
        <w:pageBreakBefore w:val="0"/>
        <w:widowControl/>
        <w:kinsoku/>
        <w:overflowPunct/>
        <w:topLinePunct w:val="0"/>
        <w:autoSpaceDE/>
        <w:autoSpaceDN/>
        <w:bidi w:val="0"/>
        <w:adjustRightInd/>
        <w:snapToGrid/>
        <w:spacing w:before="75" w:after="75" w:line="40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电 话：</w:t>
      </w:r>
      <w:r>
        <w:rPr>
          <w:rFonts w:ascii="宋体" w:hAnsi="宋体" w:cs="宋体"/>
          <w:color w:val="auto"/>
          <w:kern w:val="0"/>
          <w:sz w:val="24"/>
          <w:szCs w:val="24"/>
        </w:rPr>
        <w:t>0772-2120191</w:t>
      </w:r>
    </w:p>
    <w:p w14:paraId="0C1B3845">
      <w:pPr>
        <w:keepNext w:val="0"/>
        <w:keepLines w:val="0"/>
        <w:pageBreakBefore w:val="0"/>
        <w:widowControl/>
        <w:kinsoku/>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color w:val="auto"/>
          <w:kern w:val="0"/>
          <w:sz w:val="24"/>
          <w:szCs w:val="24"/>
        </w:rPr>
        <w:t>十、附件</w:t>
      </w:r>
    </w:p>
    <w:p w14:paraId="7412AC85">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en-US" w:eastAsia="zh-CN"/>
        </w:rPr>
        <w:t>1</w:t>
      </w:r>
      <w:r>
        <w:rPr>
          <w:rFonts w:hint="eastAsia" w:cs="宋体" w:asciiTheme="minorEastAsia" w:hAnsiTheme="minorEastAsia" w:eastAsiaTheme="minorEastAsia"/>
          <w:color w:val="auto"/>
          <w:kern w:val="0"/>
          <w:sz w:val="24"/>
          <w:szCs w:val="24"/>
        </w:rPr>
        <w:t>.中小企业声明函</w:t>
      </w:r>
    </w:p>
    <w:p w14:paraId="54296292">
      <w:pPr>
        <w:pStyle w:val="4"/>
        <w:rPr>
          <w:rFonts w:hint="eastAsia"/>
          <w:color w:val="auto"/>
        </w:rPr>
      </w:pPr>
    </w:p>
    <w:p w14:paraId="44EA2B40">
      <w:pPr>
        <w:pStyle w:val="4"/>
        <w:rPr>
          <w:color w:val="auto"/>
        </w:rPr>
      </w:pPr>
    </w:p>
    <w:p w14:paraId="3AA16224">
      <w:pPr>
        <w:keepNext w:val="0"/>
        <w:keepLines w:val="0"/>
        <w:pageBreakBefore w:val="0"/>
        <w:kinsoku/>
        <w:overflowPunct/>
        <w:topLinePunct w:val="0"/>
        <w:autoSpaceDE/>
        <w:autoSpaceDN/>
        <w:bidi w:val="0"/>
        <w:adjustRightInd/>
        <w:snapToGrid/>
        <w:spacing w:line="400" w:lineRule="exact"/>
        <w:ind w:firstLine="240" w:firstLineChars="100"/>
        <w:jc w:val="right"/>
        <w:textAlignment w:val="auto"/>
        <w:rPr>
          <w:rFonts w:asciiTheme="minorEastAsia" w:hAnsiTheme="minorEastAsia" w:eastAsiaTheme="minorEastAsia"/>
          <w:color w:val="auto"/>
          <w:sz w:val="24"/>
          <w:szCs w:val="24"/>
        </w:rPr>
      </w:pPr>
      <w:bookmarkStart w:id="5" w:name="_GoBack"/>
      <w:bookmarkEnd w:id="5"/>
      <w:r>
        <w:rPr>
          <w:rFonts w:hint="eastAsia" w:asciiTheme="minorEastAsia" w:hAnsiTheme="minorEastAsia" w:eastAsiaTheme="minorEastAsia"/>
          <w:color w:val="auto"/>
          <w:sz w:val="24"/>
          <w:szCs w:val="24"/>
        </w:rPr>
        <w:t>广西大德项目管理有限公司</w:t>
      </w:r>
    </w:p>
    <w:bookmarkEnd w:id="2"/>
    <w:bookmarkEnd w:id="3"/>
    <w:bookmarkEnd w:id="4"/>
    <w:p w14:paraId="79E0EE2B">
      <w:pPr>
        <w:keepNext w:val="0"/>
        <w:keepLines w:val="0"/>
        <w:pageBreakBefore w:val="0"/>
        <w:kinsoku/>
        <w:overflowPunct/>
        <w:topLinePunct w:val="0"/>
        <w:autoSpaceDE/>
        <w:autoSpaceDN/>
        <w:bidi w:val="0"/>
        <w:adjustRightInd/>
        <w:snapToGrid/>
        <w:spacing w:line="400" w:lineRule="exact"/>
        <w:ind w:firstLine="240" w:firstLineChars="100"/>
        <w:jc w:val="righ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2025年10月14日</w:t>
      </w:r>
    </w:p>
    <w:p w14:paraId="2F232224">
      <w:pPr>
        <w:keepNext w:val="0"/>
        <w:keepLines w:val="0"/>
        <w:pageBreakBefore w:val="0"/>
        <w:kinsoku/>
        <w:overflowPunct/>
        <w:topLinePunct w:val="0"/>
        <w:autoSpaceDE/>
        <w:autoSpaceDN/>
        <w:bidi w:val="0"/>
        <w:adjustRightInd/>
        <w:snapToGrid/>
        <w:spacing w:line="400" w:lineRule="exact"/>
        <w:ind w:firstLine="240" w:firstLineChars="100"/>
        <w:jc w:val="right"/>
        <w:textAlignment w:val="auto"/>
        <w:rPr>
          <w:rFonts w:hint="eastAsia" w:asciiTheme="minorEastAsia" w:hAnsiTheme="minorEastAsia" w:eastAsiaTheme="minorEastAsia"/>
          <w:color w:val="auto"/>
          <w:sz w:val="24"/>
          <w:szCs w:val="24"/>
          <w:lang w:val="en-US" w:eastAsia="zh-CN"/>
        </w:rPr>
        <w:sectPr>
          <w:footerReference r:id="rId3" w:type="default"/>
          <w:pgSz w:w="11906" w:h="16838"/>
          <w:pgMar w:top="1361" w:right="1134" w:bottom="1361" w:left="1134" w:header="851" w:footer="992" w:gutter="0"/>
          <w:cols w:space="425" w:num="1"/>
          <w:docGrid w:type="lines" w:linePitch="312" w:charSpace="0"/>
        </w:sectPr>
      </w:pPr>
    </w:p>
    <w:p w14:paraId="587C40C7">
      <w:pPr>
        <w:keepNext w:val="0"/>
        <w:keepLines w:val="0"/>
        <w:pageBreakBefore w:val="0"/>
        <w:kinsoku/>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drawing>
          <wp:inline distT="0" distB="0" distL="114300" distR="114300">
            <wp:extent cx="6115050" cy="8648065"/>
            <wp:effectExtent l="0" t="0" r="0" b="635"/>
            <wp:docPr id="3" name="图片 3" descr="中小企业声明函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小企业声明函_01"/>
                    <pic:cNvPicPr>
                      <a:picLocks noChangeAspect="1"/>
                    </pic:cNvPicPr>
                  </pic:nvPicPr>
                  <pic:blipFill>
                    <a:blip r:embed="rId5"/>
                    <a:stretch>
                      <a:fillRect/>
                    </a:stretch>
                  </pic:blipFill>
                  <pic:spPr>
                    <a:xfrm>
                      <a:off x="0" y="0"/>
                      <a:ext cx="6115050" cy="8648065"/>
                    </a:xfrm>
                    <a:prstGeom prst="rect">
                      <a:avLst/>
                    </a:prstGeom>
                  </pic:spPr>
                </pic:pic>
              </a:graphicData>
            </a:graphic>
          </wp:inline>
        </w:drawing>
      </w:r>
    </w:p>
    <w:sectPr>
      <w:pgSz w:w="11906" w:h="16838"/>
      <w:pgMar w:top="136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docPartObj>
        <w:docPartGallery w:val="autotext"/>
      </w:docPartObj>
    </w:sdtPr>
    <w:sdtContent>
      <w:p w14:paraId="5E3699A2">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428BB8D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UxMWQxOTY1ZmFjNzMxYjk5M2RkZmUwNjAzMWZlY2EifQ=="/>
  </w:docVars>
  <w:rsids>
    <w:rsidRoot w:val="00342BB7"/>
    <w:rsid w:val="00004A3A"/>
    <w:rsid w:val="0000564F"/>
    <w:rsid w:val="00006B01"/>
    <w:rsid w:val="0001471A"/>
    <w:rsid w:val="00023911"/>
    <w:rsid w:val="00036FEC"/>
    <w:rsid w:val="00042182"/>
    <w:rsid w:val="000429B8"/>
    <w:rsid w:val="000474E0"/>
    <w:rsid w:val="00054DAF"/>
    <w:rsid w:val="0009056E"/>
    <w:rsid w:val="00092B16"/>
    <w:rsid w:val="00092D03"/>
    <w:rsid w:val="000954CC"/>
    <w:rsid w:val="000A039D"/>
    <w:rsid w:val="000A15BB"/>
    <w:rsid w:val="000B223B"/>
    <w:rsid w:val="000B531D"/>
    <w:rsid w:val="000B5FAA"/>
    <w:rsid w:val="000C2C6B"/>
    <w:rsid w:val="000C37B7"/>
    <w:rsid w:val="000C5DB8"/>
    <w:rsid w:val="000C6370"/>
    <w:rsid w:val="000E58A9"/>
    <w:rsid w:val="00105357"/>
    <w:rsid w:val="001056F6"/>
    <w:rsid w:val="0011578D"/>
    <w:rsid w:val="00117FD0"/>
    <w:rsid w:val="001242F1"/>
    <w:rsid w:val="001428D2"/>
    <w:rsid w:val="00143331"/>
    <w:rsid w:val="00153C80"/>
    <w:rsid w:val="00186CA7"/>
    <w:rsid w:val="00190007"/>
    <w:rsid w:val="00193AB7"/>
    <w:rsid w:val="001B5FAC"/>
    <w:rsid w:val="001E07A3"/>
    <w:rsid w:val="001F0132"/>
    <w:rsid w:val="001F1403"/>
    <w:rsid w:val="001F6CFD"/>
    <w:rsid w:val="00200BE6"/>
    <w:rsid w:val="002033FA"/>
    <w:rsid w:val="00212BAA"/>
    <w:rsid w:val="00213D03"/>
    <w:rsid w:val="00215A8A"/>
    <w:rsid w:val="00220EA3"/>
    <w:rsid w:val="002438A6"/>
    <w:rsid w:val="00245C1F"/>
    <w:rsid w:val="00257776"/>
    <w:rsid w:val="0026024C"/>
    <w:rsid w:val="00264EAA"/>
    <w:rsid w:val="00267A77"/>
    <w:rsid w:val="002734F4"/>
    <w:rsid w:val="002A2981"/>
    <w:rsid w:val="002B2D4F"/>
    <w:rsid w:val="002B52F6"/>
    <w:rsid w:val="002B66F1"/>
    <w:rsid w:val="002C7B1F"/>
    <w:rsid w:val="002D3EDC"/>
    <w:rsid w:val="002F7400"/>
    <w:rsid w:val="00315EFA"/>
    <w:rsid w:val="00331F88"/>
    <w:rsid w:val="00337D2D"/>
    <w:rsid w:val="00342BB7"/>
    <w:rsid w:val="00360894"/>
    <w:rsid w:val="003641C3"/>
    <w:rsid w:val="00366B1E"/>
    <w:rsid w:val="00377306"/>
    <w:rsid w:val="00384F12"/>
    <w:rsid w:val="003A3B76"/>
    <w:rsid w:val="003C15C1"/>
    <w:rsid w:val="003C6B6A"/>
    <w:rsid w:val="003D0149"/>
    <w:rsid w:val="003E57AA"/>
    <w:rsid w:val="003E7D44"/>
    <w:rsid w:val="00402E0E"/>
    <w:rsid w:val="00413585"/>
    <w:rsid w:val="00414E53"/>
    <w:rsid w:val="0041608A"/>
    <w:rsid w:val="004232AF"/>
    <w:rsid w:val="00430CCD"/>
    <w:rsid w:val="00445822"/>
    <w:rsid w:val="00455B4D"/>
    <w:rsid w:val="00467E09"/>
    <w:rsid w:val="00482583"/>
    <w:rsid w:val="00491110"/>
    <w:rsid w:val="00496DE5"/>
    <w:rsid w:val="0049770B"/>
    <w:rsid w:val="00497F17"/>
    <w:rsid w:val="004A3607"/>
    <w:rsid w:val="004B54E9"/>
    <w:rsid w:val="004C2A76"/>
    <w:rsid w:val="004E3006"/>
    <w:rsid w:val="004E42D0"/>
    <w:rsid w:val="004F0AF9"/>
    <w:rsid w:val="004F397A"/>
    <w:rsid w:val="00510686"/>
    <w:rsid w:val="005269D3"/>
    <w:rsid w:val="005331FD"/>
    <w:rsid w:val="00541818"/>
    <w:rsid w:val="0054248D"/>
    <w:rsid w:val="0054431E"/>
    <w:rsid w:val="005672A7"/>
    <w:rsid w:val="00573126"/>
    <w:rsid w:val="0057458A"/>
    <w:rsid w:val="00574EB7"/>
    <w:rsid w:val="0058049B"/>
    <w:rsid w:val="0058070E"/>
    <w:rsid w:val="0058421D"/>
    <w:rsid w:val="005A0547"/>
    <w:rsid w:val="005A3E8A"/>
    <w:rsid w:val="005A7EC4"/>
    <w:rsid w:val="005B4537"/>
    <w:rsid w:val="005F4C50"/>
    <w:rsid w:val="00614374"/>
    <w:rsid w:val="00616619"/>
    <w:rsid w:val="0061728F"/>
    <w:rsid w:val="0062275C"/>
    <w:rsid w:val="00627307"/>
    <w:rsid w:val="006325E2"/>
    <w:rsid w:val="00634B73"/>
    <w:rsid w:val="0063588B"/>
    <w:rsid w:val="006506A2"/>
    <w:rsid w:val="00660D81"/>
    <w:rsid w:val="0066746B"/>
    <w:rsid w:val="00670529"/>
    <w:rsid w:val="006746B8"/>
    <w:rsid w:val="00684110"/>
    <w:rsid w:val="0068706B"/>
    <w:rsid w:val="006A45B5"/>
    <w:rsid w:val="006B6A4A"/>
    <w:rsid w:val="006C1D43"/>
    <w:rsid w:val="006D509D"/>
    <w:rsid w:val="006E04B5"/>
    <w:rsid w:val="006F17F8"/>
    <w:rsid w:val="006F39A5"/>
    <w:rsid w:val="006F6A85"/>
    <w:rsid w:val="00700DE7"/>
    <w:rsid w:val="00707F83"/>
    <w:rsid w:val="0071281D"/>
    <w:rsid w:val="00712D9B"/>
    <w:rsid w:val="0073690B"/>
    <w:rsid w:val="00747861"/>
    <w:rsid w:val="00756F02"/>
    <w:rsid w:val="007619A1"/>
    <w:rsid w:val="00786353"/>
    <w:rsid w:val="0079116C"/>
    <w:rsid w:val="007A7A6D"/>
    <w:rsid w:val="007B0AD0"/>
    <w:rsid w:val="007B30E7"/>
    <w:rsid w:val="007B69D6"/>
    <w:rsid w:val="007C4242"/>
    <w:rsid w:val="007D2868"/>
    <w:rsid w:val="007D6C05"/>
    <w:rsid w:val="007F386F"/>
    <w:rsid w:val="007F51F9"/>
    <w:rsid w:val="00805199"/>
    <w:rsid w:val="00807801"/>
    <w:rsid w:val="00810A83"/>
    <w:rsid w:val="00832F8E"/>
    <w:rsid w:val="0083619C"/>
    <w:rsid w:val="008369A1"/>
    <w:rsid w:val="00844703"/>
    <w:rsid w:val="0086211A"/>
    <w:rsid w:val="0086601A"/>
    <w:rsid w:val="00880A07"/>
    <w:rsid w:val="00883503"/>
    <w:rsid w:val="00884844"/>
    <w:rsid w:val="00894373"/>
    <w:rsid w:val="00894B86"/>
    <w:rsid w:val="008A0381"/>
    <w:rsid w:val="008A1BA2"/>
    <w:rsid w:val="008A4F22"/>
    <w:rsid w:val="008A7EA4"/>
    <w:rsid w:val="008B3B7D"/>
    <w:rsid w:val="008C0985"/>
    <w:rsid w:val="008C2DE5"/>
    <w:rsid w:val="008D2BC0"/>
    <w:rsid w:val="008D3F38"/>
    <w:rsid w:val="008D6581"/>
    <w:rsid w:val="008F027D"/>
    <w:rsid w:val="00915907"/>
    <w:rsid w:val="00915B31"/>
    <w:rsid w:val="00915EFC"/>
    <w:rsid w:val="00923D2F"/>
    <w:rsid w:val="00926290"/>
    <w:rsid w:val="00926C2D"/>
    <w:rsid w:val="009441AF"/>
    <w:rsid w:val="00976666"/>
    <w:rsid w:val="00996040"/>
    <w:rsid w:val="00997ADA"/>
    <w:rsid w:val="009B2F3A"/>
    <w:rsid w:val="009B7A9B"/>
    <w:rsid w:val="009C2E4D"/>
    <w:rsid w:val="009D1D24"/>
    <w:rsid w:val="009D4439"/>
    <w:rsid w:val="009F4BE8"/>
    <w:rsid w:val="009F6D02"/>
    <w:rsid w:val="00A03FBA"/>
    <w:rsid w:val="00A0691A"/>
    <w:rsid w:val="00A15503"/>
    <w:rsid w:val="00A15D37"/>
    <w:rsid w:val="00A26048"/>
    <w:rsid w:val="00A26408"/>
    <w:rsid w:val="00A333EE"/>
    <w:rsid w:val="00A56992"/>
    <w:rsid w:val="00A7124F"/>
    <w:rsid w:val="00A768FF"/>
    <w:rsid w:val="00A95C07"/>
    <w:rsid w:val="00AA0E95"/>
    <w:rsid w:val="00AA231B"/>
    <w:rsid w:val="00AE07DE"/>
    <w:rsid w:val="00AF1302"/>
    <w:rsid w:val="00B22A82"/>
    <w:rsid w:val="00B30499"/>
    <w:rsid w:val="00B308F2"/>
    <w:rsid w:val="00B329CC"/>
    <w:rsid w:val="00B350C4"/>
    <w:rsid w:val="00B430BC"/>
    <w:rsid w:val="00B44752"/>
    <w:rsid w:val="00B61A67"/>
    <w:rsid w:val="00B77BF9"/>
    <w:rsid w:val="00B83F95"/>
    <w:rsid w:val="00B92E22"/>
    <w:rsid w:val="00BA25FF"/>
    <w:rsid w:val="00BB332C"/>
    <w:rsid w:val="00BB44A9"/>
    <w:rsid w:val="00BB74BF"/>
    <w:rsid w:val="00BC2BD7"/>
    <w:rsid w:val="00BD020C"/>
    <w:rsid w:val="00BD21A6"/>
    <w:rsid w:val="00BD4A82"/>
    <w:rsid w:val="00BF284F"/>
    <w:rsid w:val="00BF6B1C"/>
    <w:rsid w:val="00C0498E"/>
    <w:rsid w:val="00C15F0F"/>
    <w:rsid w:val="00C24797"/>
    <w:rsid w:val="00C26430"/>
    <w:rsid w:val="00C32DAE"/>
    <w:rsid w:val="00C40ACC"/>
    <w:rsid w:val="00C43EF6"/>
    <w:rsid w:val="00C84DED"/>
    <w:rsid w:val="00C87662"/>
    <w:rsid w:val="00C91FF4"/>
    <w:rsid w:val="00CA3C7D"/>
    <w:rsid w:val="00CC6F7A"/>
    <w:rsid w:val="00CD4845"/>
    <w:rsid w:val="00CD4866"/>
    <w:rsid w:val="00CD5B04"/>
    <w:rsid w:val="00CF118D"/>
    <w:rsid w:val="00D141BF"/>
    <w:rsid w:val="00D2136E"/>
    <w:rsid w:val="00D26C80"/>
    <w:rsid w:val="00D27A75"/>
    <w:rsid w:val="00D27CE7"/>
    <w:rsid w:val="00D335E7"/>
    <w:rsid w:val="00D42318"/>
    <w:rsid w:val="00D55C95"/>
    <w:rsid w:val="00D57CFB"/>
    <w:rsid w:val="00D60FC7"/>
    <w:rsid w:val="00D6636B"/>
    <w:rsid w:val="00D675FC"/>
    <w:rsid w:val="00D82F64"/>
    <w:rsid w:val="00D909D8"/>
    <w:rsid w:val="00DA2F21"/>
    <w:rsid w:val="00DB2517"/>
    <w:rsid w:val="00DB790B"/>
    <w:rsid w:val="00DB7A38"/>
    <w:rsid w:val="00DC227F"/>
    <w:rsid w:val="00DC37D7"/>
    <w:rsid w:val="00DD7184"/>
    <w:rsid w:val="00DE53F9"/>
    <w:rsid w:val="00E16B34"/>
    <w:rsid w:val="00E22522"/>
    <w:rsid w:val="00E31601"/>
    <w:rsid w:val="00E37921"/>
    <w:rsid w:val="00E46FFA"/>
    <w:rsid w:val="00E501C7"/>
    <w:rsid w:val="00E66505"/>
    <w:rsid w:val="00E830C8"/>
    <w:rsid w:val="00E86542"/>
    <w:rsid w:val="00E9582F"/>
    <w:rsid w:val="00E96572"/>
    <w:rsid w:val="00EB09E5"/>
    <w:rsid w:val="00EB3094"/>
    <w:rsid w:val="00EB5A06"/>
    <w:rsid w:val="00EB7396"/>
    <w:rsid w:val="00EC7CA6"/>
    <w:rsid w:val="00EE1BB0"/>
    <w:rsid w:val="00EF4FFD"/>
    <w:rsid w:val="00F11012"/>
    <w:rsid w:val="00F116A0"/>
    <w:rsid w:val="00F31605"/>
    <w:rsid w:val="00F31E96"/>
    <w:rsid w:val="00F42CBE"/>
    <w:rsid w:val="00F47F5E"/>
    <w:rsid w:val="00F51C6B"/>
    <w:rsid w:val="00F57D1F"/>
    <w:rsid w:val="00F83844"/>
    <w:rsid w:val="00F94A1C"/>
    <w:rsid w:val="00FA56EE"/>
    <w:rsid w:val="00FC56DC"/>
    <w:rsid w:val="00FD63B3"/>
    <w:rsid w:val="00FE351A"/>
    <w:rsid w:val="01CD4D28"/>
    <w:rsid w:val="04061CFF"/>
    <w:rsid w:val="04EA281A"/>
    <w:rsid w:val="06190FCC"/>
    <w:rsid w:val="064810A9"/>
    <w:rsid w:val="06F7755F"/>
    <w:rsid w:val="084F4108"/>
    <w:rsid w:val="0AEE083D"/>
    <w:rsid w:val="0AEF6049"/>
    <w:rsid w:val="0B6B0727"/>
    <w:rsid w:val="0DA03BB0"/>
    <w:rsid w:val="0EAD7F0B"/>
    <w:rsid w:val="0F081091"/>
    <w:rsid w:val="10030D22"/>
    <w:rsid w:val="10275760"/>
    <w:rsid w:val="119500A0"/>
    <w:rsid w:val="12985F6F"/>
    <w:rsid w:val="149C34F4"/>
    <w:rsid w:val="14DF1632"/>
    <w:rsid w:val="15C745A0"/>
    <w:rsid w:val="16596FC7"/>
    <w:rsid w:val="18754787"/>
    <w:rsid w:val="19221474"/>
    <w:rsid w:val="1A1B52BC"/>
    <w:rsid w:val="1BE8238C"/>
    <w:rsid w:val="1D063DAB"/>
    <w:rsid w:val="1F833F36"/>
    <w:rsid w:val="1FBF77CF"/>
    <w:rsid w:val="226B1B8E"/>
    <w:rsid w:val="228E4DC3"/>
    <w:rsid w:val="237D2742"/>
    <w:rsid w:val="23E72442"/>
    <w:rsid w:val="23F073B8"/>
    <w:rsid w:val="26215F4F"/>
    <w:rsid w:val="273E043A"/>
    <w:rsid w:val="274A3287"/>
    <w:rsid w:val="27946833"/>
    <w:rsid w:val="29005433"/>
    <w:rsid w:val="2B0821C8"/>
    <w:rsid w:val="2B136D58"/>
    <w:rsid w:val="2DA37057"/>
    <w:rsid w:val="2E6B5FB9"/>
    <w:rsid w:val="2EE45CAB"/>
    <w:rsid w:val="30C43CFA"/>
    <w:rsid w:val="30F96FE4"/>
    <w:rsid w:val="31171D8C"/>
    <w:rsid w:val="317C7B94"/>
    <w:rsid w:val="31AD68E8"/>
    <w:rsid w:val="336E20A7"/>
    <w:rsid w:val="33D77C4D"/>
    <w:rsid w:val="34EB6C32"/>
    <w:rsid w:val="35AF119B"/>
    <w:rsid w:val="35C80866"/>
    <w:rsid w:val="36066A01"/>
    <w:rsid w:val="3638029F"/>
    <w:rsid w:val="36D745B1"/>
    <w:rsid w:val="38292F62"/>
    <w:rsid w:val="3B382475"/>
    <w:rsid w:val="3DDF56C9"/>
    <w:rsid w:val="3FDE6E09"/>
    <w:rsid w:val="4044560B"/>
    <w:rsid w:val="40695811"/>
    <w:rsid w:val="4125649B"/>
    <w:rsid w:val="44FF0DB1"/>
    <w:rsid w:val="45F25DBF"/>
    <w:rsid w:val="460042C6"/>
    <w:rsid w:val="46BF7389"/>
    <w:rsid w:val="47A37D6C"/>
    <w:rsid w:val="47C94BC8"/>
    <w:rsid w:val="4BF1634C"/>
    <w:rsid w:val="4C39448E"/>
    <w:rsid w:val="4D0A1CF7"/>
    <w:rsid w:val="4EAA010C"/>
    <w:rsid w:val="4FD077BE"/>
    <w:rsid w:val="52AA2CA4"/>
    <w:rsid w:val="52BB5860"/>
    <w:rsid w:val="531B01A6"/>
    <w:rsid w:val="537B1BDA"/>
    <w:rsid w:val="54631EE1"/>
    <w:rsid w:val="55023BBD"/>
    <w:rsid w:val="57AE7111"/>
    <w:rsid w:val="59E60EDB"/>
    <w:rsid w:val="5A1D12D3"/>
    <w:rsid w:val="5A2C0AD2"/>
    <w:rsid w:val="5AB21D39"/>
    <w:rsid w:val="5AB60AAE"/>
    <w:rsid w:val="5D1134E3"/>
    <w:rsid w:val="5DAF116F"/>
    <w:rsid w:val="5E511C04"/>
    <w:rsid w:val="5FFA3263"/>
    <w:rsid w:val="601C6864"/>
    <w:rsid w:val="603F0DA5"/>
    <w:rsid w:val="619052E3"/>
    <w:rsid w:val="624125B1"/>
    <w:rsid w:val="6335141E"/>
    <w:rsid w:val="65E55477"/>
    <w:rsid w:val="65F067C8"/>
    <w:rsid w:val="667E6061"/>
    <w:rsid w:val="6ACA4751"/>
    <w:rsid w:val="6BE15651"/>
    <w:rsid w:val="6D8F68C7"/>
    <w:rsid w:val="6DFA053C"/>
    <w:rsid w:val="6F300B95"/>
    <w:rsid w:val="701B119D"/>
    <w:rsid w:val="70DF22CC"/>
    <w:rsid w:val="73091E6C"/>
    <w:rsid w:val="73263118"/>
    <w:rsid w:val="73A6496A"/>
    <w:rsid w:val="774A5402"/>
    <w:rsid w:val="77CB499F"/>
    <w:rsid w:val="77DB2919"/>
    <w:rsid w:val="786731E2"/>
    <w:rsid w:val="7A546ECE"/>
    <w:rsid w:val="7BFE3FE6"/>
    <w:rsid w:val="7D5D42EC"/>
    <w:rsid w:val="7D9121E7"/>
    <w:rsid w:val="7DE043B3"/>
    <w:rsid w:val="7F4C4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unhideWhenUsed/>
    <w:qFormat/>
    <w:uiPriority w:val="1"/>
    <w:pPr>
      <w:spacing w:after="120"/>
    </w:pPr>
  </w:style>
  <w:style w:type="paragraph" w:styleId="5">
    <w:name w:val="Plain Text"/>
    <w:basedOn w:val="1"/>
    <w:link w:val="20"/>
    <w:autoRedefine/>
    <w:qFormat/>
    <w:uiPriority w:val="0"/>
    <w:rPr>
      <w:rFonts w:ascii="宋体" w:hAnsi="Courier New" w:eastAsiaTheme="minorEastAsia" w:cstheme="minorBidi"/>
      <w:szCs w:val="22"/>
    </w:rPr>
  </w:style>
  <w:style w:type="paragraph" w:styleId="6">
    <w:name w:val="Balloon Text"/>
    <w:basedOn w:val="1"/>
    <w:link w:val="21"/>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styleId="14">
    <w:name w:val="annotation reference"/>
    <w:autoRedefine/>
    <w:qFormat/>
    <w:uiPriority w:val="0"/>
    <w:rPr>
      <w:sz w:val="21"/>
      <w:szCs w:val="21"/>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paragraph" w:styleId="17">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2"/>
    <w:link w:val="2"/>
    <w:autoRedefine/>
    <w:qFormat/>
    <w:uiPriority w:val="9"/>
    <w:rPr>
      <w:rFonts w:ascii="Times New Roman" w:hAnsi="Times New Roman" w:eastAsia="宋体" w:cs="Times New Roman"/>
      <w:b/>
      <w:bCs/>
      <w:kern w:val="44"/>
      <w:sz w:val="44"/>
      <w:szCs w:val="44"/>
    </w:rPr>
  </w:style>
  <w:style w:type="character" w:customStyle="1" w:styleId="19">
    <w:name w:val="标题 2 Char"/>
    <w:basedOn w:val="12"/>
    <w:link w:val="3"/>
    <w:autoRedefine/>
    <w:qFormat/>
    <w:uiPriority w:val="0"/>
    <w:rPr>
      <w:rFonts w:ascii="Arial" w:hAnsi="Arial" w:eastAsia="黑体" w:cs="Arial"/>
      <w:b/>
      <w:bCs/>
      <w:sz w:val="32"/>
      <w:szCs w:val="32"/>
    </w:rPr>
  </w:style>
  <w:style w:type="character" w:customStyle="1" w:styleId="20">
    <w:name w:val="纯文本 Char"/>
    <w:basedOn w:val="12"/>
    <w:link w:val="5"/>
    <w:autoRedefine/>
    <w:qFormat/>
    <w:uiPriority w:val="0"/>
    <w:rPr>
      <w:rFonts w:ascii="宋体" w:hAnsi="Courier New"/>
    </w:rPr>
  </w:style>
  <w:style w:type="character" w:customStyle="1" w:styleId="21">
    <w:name w:val="批注框文本 Char"/>
    <w:basedOn w:val="12"/>
    <w:link w:val="6"/>
    <w:autoRedefine/>
    <w:semiHidden/>
    <w:qFormat/>
    <w:uiPriority w:val="99"/>
    <w:rPr>
      <w:rFonts w:ascii="Times New Roman" w:hAnsi="Times New Roman" w:eastAsia="宋体" w:cs="Times New Roman"/>
      <w:sz w:val="18"/>
      <w:szCs w:val="18"/>
    </w:rPr>
  </w:style>
  <w:style w:type="character" w:customStyle="1" w:styleId="22">
    <w:name w:val="bookmark-item"/>
    <w:basedOn w:val="12"/>
    <w:autoRedefine/>
    <w:qFormat/>
    <w:uiPriority w:val="0"/>
  </w:style>
  <w:style w:type="paragraph" w:customStyle="1" w:styleId="23">
    <w:name w:val="sub"/>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62F3-17C1-4AF1-A889-231A1B684333}">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751</Words>
  <Characters>956</Characters>
  <Lines>33</Lines>
  <Paragraphs>35</Paragraphs>
  <TotalTime>4</TotalTime>
  <ScaleCrop>false</ScaleCrop>
  <LinksUpToDate>false</LinksUpToDate>
  <CharactersWithSpaces>957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五星好市民</cp:lastModifiedBy>
  <cp:lastPrinted>2025-10-14T07:21:00Z</cp:lastPrinted>
  <dcterms:modified xsi:type="dcterms:W3CDTF">2025-10-14T07:49:59Z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A74A0234381B46AF8AD8E2B9F4F8C2AE_12</vt:lpwstr>
  </property>
  <property fmtid="{D5CDD505-2E9C-101B-9397-08002B2CF9AE}" pid="4" name="KSOTemplateDocerSaveRecord">
    <vt:lpwstr>eyJoZGlkIjoiODA3ZDhmODk2NDRkYjI4ZDhlNmZkZDJiZmIzMjViOTYiLCJ1c2VySWQiOiIxNTk2NDc0MTE2In0=</vt:lpwstr>
  </property>
</Properties>
</file>